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E2B4B" w14:textId="43BC5ECE" w:rsidR="00835E0B" w:rsidRPr="000E6C36" w:rsidRDefault="000E6C36" w:rsidP="00EB4C32">
      <w:pPr>
        <w:spacing w:after="0" w:line="480" w:lineRule="auto"/>
        <w:rPr>
          <w:rFonts w:ascii="Times New Roman" w:hAnsi="Times New Roman" w:cs="Times New Roman"/>
          <w:b/>
          <w:bCs/>
          <w:sz w:val="24"/>
          <w:szCs w:val="24"/>
        </w:rPr>
      </w:pPr>
      <w:bookmarkStart w:id="0" w:name="_Hlk155357756"/>
      <w:r w:rsidRPr="000E6C36">
        <w:rPr>
          <w:rFonts w:ascii="Times New Roman" w:hAnsi="Times New Roman" w:cs="Times New Roman"/>
          <w:b/>
          <w:bCs/>
          <w:sz w:val="24"/>
          <w:szCs w:val="24"/>
        </w:rPr>
        <w:t xml:space="preserve">S1. </w:t>
      </w:r>
      <w:bookmarkEnd w:id="0"/>
      <w:r w:rsidRPr="000E6C36">
        <w:rPr>
          <w:rFonts w:ascii="Times New Roman" w:hAnsi="Times New Roman" w:cs="Times New Roman"/>
          <w:b/>
          <w:bCs/>
          <w:sz w:val="24"/>
          <w:szCs w:val="24"/>
        </w:rPr>
        <w:t>Supplementary data. Description of empirical data used in the case study</w:t>
      </w:r>
    </w:p>
    <w:p w14:paraId="3FE28FA6" w14:textId="355B1411" w:rsidR="00EB4C32" w:rsidRDefault="00DD4873" w:rsidP="00EB4C32">
      <w:pPr>
        <w:spacing w:after="0" w:line="480" w:lineRule="auto"/>
        <w:ind w:firstLine="567"/>
        <w:jc w:val="both"/>
        <w:rPr>
          <w:rFonts w:ascii="Times New Roman" w:hAnsi="Times New Roman" w:cs="Times New Roman"/>
          <w:sz w:val="24"/>
          <w:szCs w:val="24"/>
        </w:rPr>
      </w:pPr>
      <w:r w:rsidRPr="00C449C6">
        <w:rPr>
          <w:rFonts w:ascii="Times New Roman" w:hAnsi="Times New Roman" w:cs="Times New Roman"/>
          <w:sz w:val="24"/>
          <w:szCs w:val="24"/>
          <w:lang w:val="en-US"/>
        </w:rPr>
        <w:t xml:space="preserve">In total, </w:t>
      </w:r>
      <w:r>
        <w:rPr>
          <w:rFonts w:ascii="Times New Roman" w:hAnsi="Times New Roman" w:cs="Times New Roman"/>
          <w:sz w:val="24"/>
          <w:szCs w:val="24"/>
          <w:lang w:val="en-US"/>
        </w:rPr>
        <w:t>630</w:t>
      </w:r>
      <w:r w:rsidRPr="00C449C6">
        <w:rPr>
          <w:rFonts w:ascii="Times New Roman" w:hAnsi="Times New Roman" w:cs="Times New Roman"/>
          <w:sz w:val="24"/>
          <w:szCs w:val="24"/>
          <w:lang w:val="en-US"/>
        </w:rPr>
        <w:t xml:space="preserve"> </w:t>
      </w:r>
      <w:r w:rsidR="00777AA7">
        <w:rPr>
          <w:rFonts w:ascii="Times New Roman" w:hAnsi="Times New Roman" w:cs="Times New Roman"/>
          <w:sz w:val="24"/>
          <w:szCs w:val="24"/>
          <w:lang w:val="en-US"/>
        </w:rPr>
        <w:t xml:space="preserve">(25 infected) </w:t>
      </w:r>
      <w:r w:rsidRPr="00C449C6">
        <w:rPr>
          <w:rFonts w:ascii="Times New Roman" w:hAnsi="Times New Roman" w:cs="Times New Roman"/>
          <w:sz w:val="24"/>
          <w:szCs w:val="24"/>
          <w:lang w:val="en-US"/>
        </w:rPr>
        <w:t xml:space="preserve">specimens of </w:t>
      </w:r>
      <w:r w:rsidRPr="00052B57">
        <w:rPr>
          <w:rFonts w:ascii="Times New Roman" w:hAnsi="Times New Roman" w:cs="Times New Roman"/>
          <w:i/>
          <w:iCs/>
          <w:sz w:val="24"/>
          <w:szCs w:val="24"/>
        </w:rPr>
        <w:t xml:space="preserve">Gammarus </w:t>
      </w:r>
      <w:proofErr w:type="spellStart"/>
      <w:r w:rsidRPr="00052B57">
        <w:rPr>
          <w:rFonts w:ascii="Times New Roman" w:hAnsi="Times New Roman" w:cs="Times New Roman"/>
          <w:i/>
          <w:iCs/>
          <w:sz w:val="24"/>
          <w:szCs w:val="24"/>
        </w:rPr>
        <w:t>balcanicus</w:t>
      </w:r>
      <w:proofErr w:type="spellEnd"/>
      <w:r w:rsidRPr="00052B57">
        <w:rPr>
          <w:rFonts w:ascii="Times New Roman" w:hAnsi="Times New Roman" w:cs="Times New Roman"/>
          <w:sz w:val="24"/>
          <w:szCs w:val="24"/>
        </w:rPr>
        <w:t xml:space="preserve"> </w:t>
      </w:r>
      <w:proofErr w:type="spellStart"/>
      <w:r w:rsidRPr="00052B57">
        <w:rPr>
          <w:rFonts w:ascii="Times New Roman" w:hAnsi="Times New Roman" w:cs="Times New Roman"/>
          <w:sz w:val="24"/>
          <w:szCs w:val="24"/>
        </w:rPr>
        <w:t>Schäferna</w:t>
      </w:r>
      <w:proofErr w:type="spellEnd"/>
      <w:r>
        <w:rPr>
          <w:rFonts w:ascii="Times New Roman" w:hAnsi="Times New Roman" w:cs="Times New Roman"/>
          <w:sz w:val="24"/>
          <w:szCs w:val="24"/>
          <w:lang w:val="en-US"/>
        </w:rPr>
        <w:t xml:space="preserve"> and 14</w:t>
      </w:r>
      <w:r w:rsidR="00777AA7">
        <w:rPr>
          <w:rFonts w:ascii="Times New Roman" w:hAnsi="Times New Roman" w:cs="Times New Roman"/>
          <w:sz w:val="24"/>
          <w:szCs w:val="24"/>
          <w:lang w:val="en-US"/>
        </w:rPr>
        <w:t xml:space="preserve"> (8 infected)</w:t>
      </w:r>
      <w:r>
        <w:rPr>
          <w:rFonts w:ascii="Times New Roman" w:hAnsi="Times New Roman" w:cs="Times New Roman"/>
          <w:sz w:val="24"/>
          <w:szCs w:val="24"/>
          <w:lang w:val="en-US"/>
        </w:rPr>
        <w:t xml:space="preserve"> specimens of </w:t>
      </w:r>
      <w:proofErr w:type="spellStart"/>
      <w:r w:rsidRPr="00052B57">
        <w:rPr>
          <w:rFonts w:ascii="Times New Roman" w:hAnsi="Times New Roman" w:cs="Times New Roman"/>
          <w:i/>
          <w:iCs/>
          <w:sz w:val="24"/>
          <w:szCs w:val="24"/>
        </w:rPr>
        <w:t>Phoxinus</w:t>
      </w:r>
      <w:proofErr w:type="spellEnd"/>
      <w:r w:rsidRPr="00052B57">
        <w:rPr>
          <w:rFonts w:ascii="Times New Roman" w:hAnsi="Times New Roman" w:cs="Times New Roman"/>
          <w:i/>
          <w:iCs/>
          <w:sz w:val="24"/>
          <w:szCs w:val="24"/>
        </w:rPr>
        <w:t xml:space="preserve"> </w:t>
      </w:r>
      <w:proofErr w:type="spellStart"/>
      <w:r w:rsidRPr="00052B57">
        <w:rPr>
          <w:rFonts w:ascii="Times New Roman" w:hAnsi="Times New Roman" w:cs="Times New Roman"/>
          <w:i/>
          <w:iCs/>
          <w:sz w:val="24"/>
          <w:szCs w:val="24"/>
        </w:rPr>
        <w:t>phoxinus</w:t>
      </w:r>
      <w:proofErr w:type="spellEnd"/>
      <w:r w:rsidRPr="00052B57">
        <w:rPr>
          <w:rFonts w:ascii="Times New Roman" w:hAnsi="Times New Roman" w:cs="Times New Roman"/>
          <w:sz w:val="24"/>
          <w:szCs w:val="24"/>
        </w:rPr>
        <w:t xml:space="preserve"> (L.)</w:t>
      </w:r>
      <w:r>
        <w:rPr>
          <w:rFonts w:ascii="Times New Roman" w:hAnsi="Times New Roman" w:cs="Times New Roman"/>
          <w:sz w:val="24"/>
          <w:szCs w:val="24"/>
        </w:rPr>
        <w:t xml:space="preserve"> </w:t>
      </w:r>
      <w:r w:rsidRPr="00C449C6">
        <w:rPr>
          <w:rFonts w:ascii="Times New Roman" w:hAnsi="Times New Roman" w:cs="Times New Roman"/>
          <w:sz w:val="24"/>
          <w:szCs w:val="24"/>
          <w:lang w:val="en-US"/>
        </w:rPr>
        <w:t xml:space="preserve">were sampled from </w:t>
      </w:r>
      <w:r w:rsidRPr="00052B57">
        <w:rPr>
          <w:rFonts w:ascii="Times New Roman" w:hAnsi="Times New Roman" w:cs="Times New Roman"/>
          <w:sz w:val="24"/>
          <w:szCs w:val="24"/>
        </w:rPr>
        <w:t>the Mal</w:t>
      </w:r>
      <w:r w:rsidRPr="00052B57">
        <w:rPr>
          <w:rFonts w:ascii="Times New Roman" w:hAnsi="Times New Roman" w:cs="Times New Roman"/>
          <w:sz w:val="24"/>
          <w:szCs w:val="24"/>
          <w:lang w:val="sk-SK"/>
        </w:rPr>
        <w:t>é Morské Oko, Eastern Slovakia</w:t>
      </w:r>
      <w:r w:rsidR="004D635B">
        <w:rPr>
          <w:rFonts w:ascii="Times New Roman" w:hAnsi="Times New Roman" w:cs="Times New Roman"/>
          <w:sz w:val="24"/>
          <w:szCs w:val="24"/>
          <w:lang w:val="sk-SK"/>
        </w:rPr>
        <w:t xml:space="preserve"> (</w:t>
      </w:r>
      <w:r w:rsidR="004D635B" w:rsidRPr="004D635B">
        <w:rPr>
          <w:rFonts w:ascii="Times New Roman" w:hAnsi="Times New Roman" w:cs="Times New Roman"/>
          <w:sz w:val="24"/>
          <w:szCs w:val="24"/>
          <w:lang w:val="sk-SK"/>
        </w:rPr>
        <w:t>48°54'43.7"N</w:t>
      </w:r>
      <w:r w:rsidR="004D635B">
        <w:rPr>
          <w:rFonts w:ascii="Times New Roman" w:hAnsi="Times New Roman" w:cs="Times New Roman"/>
          <w:sz w:val="24"/>
          <w:szCs w:val="24"/>
          <w:lang w:val="sk-SK"/>
        </w:rPr>
        <w:t>,</w:t>
      </w:r>
      <w:r w:rsidR="004D635B" w:rsidRPr="004D635B">
        <w:rPr>
          <w:rFonts w:ascii="Times New Roman" w:hAnsi="Times New Roman" w:cs="Times New Roman"/>
          <w:sz w:val="24"/>
          <w:szCs w:val="24"/>
          <w:lang w:val="sk-SK"/>
        </w:rPr>
        <w:t xml:space="preserve"> 22°11'00.4"E</w:t>
      </w:r>
      <w:r w:rsidR="004D635B">
        <w:rPr>
          <w:rFonts w:ascii="Times New Roman" w:hAnsi="Times New Roman" w:cs="Times New Roman"/>
          <w:sz w:val="24"/>
          <w:szCs w:val="24"/>
          <w:lang w:val="sk-SK"/>
        </w:rPr>
        <w:t>)</w:t>
      </w:r>
      <w:r w:rsidRPr="00052B57">
        <w:rPr>
          <w:rFonts w:ascii="Times New Roman" w:hAnsi="Times New Roman" w:cs="Times New Roman"/>
          <w:sz w:val="24"/>
          <w:szCs w:val="24"/>
        </w:rPr>
        <w:t xml:space="preserve"> </w:t>
      </w:r>
      <w:r>
        <w:rPr>
          <w:rFonts w:ascii="Times New Roman" w:hAnsi="Times New Roman" w:cs="Times New Roman"/>
          <w:sz w:val="24"/>
          <w:szCs w:val="24"/>
        </w:rPr>
        <w:t xml:space="preserve">in </w:t>
      </w:r>
      <w:r w:rsidR="00EB4C32">
        <w:rPr>
          <w:rFonts w:ascii="Times New Roman" w:hAnsi="Times New Roman" w:cs="Times New Roman"/>
          <w:sz w:val="24"/>
          <w:szCs w:val="24"/>
        </w:rPr>
        <w:t xml:space="preserve">the </w:t>
      </w:r>
      <w:r>
        <w:rPr>
          <w:rFonts w:ascii="Times New Roman" w:hAnsi="Times New Roman" w:cs="Times New Roman"/>
          <w:sz w:val="24"/>
          <w:szCs w:val="24"/>
        </w:rPr>
        <w:t xml:space="preserve">period </w:t>
      </w:r>
      <w:r w:rsidR="00EB4C32">
        <w:rPr>
          <w:rFonts w:ascii="Times New Roman" w:hAnsi="Times New Roman" w:cs="Times New Roman"/>
          <w:sz w:val="24"/>
          <w:szCs w:val="24"/>
        </w:rPr>
        <w:t>between</w:t>
      </w:r>
      <w:r>
        <w:rPr>
          <w:rFonts w:ascii="Times New Roman" w:hAnsi="Times New Roman" w:cs="Times New Roman"/>
          <w:sz w:val="24"/>
          <w:szCs w:val="24"/>
        </w:rPr>
        <w:t xml:space="preserve"> </w:t>
      </w:r>
      <w:r w:rsidR="00EB4C32">
        <w:rPr>
          <w:rFonts w:ascii="Times New Roman" w:hAnsi="Times New Roman" w:cs="Times New Roman"/>
          <w:sz w:val="24"/>
          <w:szCs w:val="24"/>
        </w:rPr>
        <w:t xml:space="preserve">October </w:t>
      </w:r>
      <w:r>
        <w:rPr>
          <w:rFonts w:ascii="Times New Roman" w:hAnsi="Times New Roman" w:cs="Times New Roman"/>
          <w:sz w:val="24"/>
          <w:szCs w:val="24"/>
        </w:rPr>
        <w:t>202</w:t>
      </w:r>
      <w:r w:rsidR="00EB4C32">
        <w:rPr>
          <w:rFonts w:ascii="Times New Roman" w:hAnsi="Times New Roman" w:cs="Times New Roman"/>
          <w:sz w:val="24"/>
          <w:szCs w:val="24"/>
        </w:rPr>
        <w:t>2 and November 2023. Fish and crustacean individu</w:t>
      </w:r>
      <w:r w:rsidR="00EB4C32" w:rsidRPr="00EB4C32">
        <w:rPr>
          <w:rFonts w:ascii="Times New Roman" w:hAnsi="Times New Roman" w:cs="Times New Roman"/>
          <w:color w:val="222222"/>
          <w:sz w:val="24"/>
          <w:szCs w:val="24"/>
          <w:shd w:val="clear" w:color="auto" w:fill="FFFFFF"/>
        </w:rPr>
        <w:t>als were identified according to</w:t>
      </w:r>
      <w:r w:rsidR="00EB4C32">
        <w:rPr>
          <w:rFonts w:ascii="Times New Roman" w:hAnsi="Times New Roman" w:cs="Times New Roman"/>
          <w:color w:val="222222"/>
          <w:sz w:val="24"/>
          <w:szCs w:val="24"/>
          <w:shd w:val="clear" w:color="auto" w:fill="FFFFFF"/>
        </w:rPr>
        <w:t xml:space="preserve"> </w:t>
      </w:r>
      <w:proofErr w:type="spellStart"/>
      <w:r w:rsidR="00EB4C32">
        <w:rPr>
          <w:rFonts w:ascii="Times New Roman" w:hAnsi="Times New Roman" w:cs="Times New Roman"/>
          <w:color w:val="222222"/>
          <w:sz w:val="24"/>
          <w:szCs w:val="24"/>
          <w:shd w:val="clear" w:color="auto" w:fill="FFFFFF"/>
        </w:rPr>
        <w:t>FishBase</w:t>
      </w:r>
      <w:proofErr w:type="spellEnd"/>
      <w:r w:rsidR="00EB4C32">
        <w:rPr>
          <w:rFonts w:ascii="Times New Roman" w:hAnsi="Times New Roman" w:cs="Times New Roman"/>
          <w:color w:val="222222"/>
          <w:sz w:val="24"/>
          <w:szCs w:val="24"/>
          <w:shd w:val="clear" w:color="auto" w:fill="FFFFFF"/>
        </w:rPr>
        <w:t xml:space="preserve"> </w:t>
      </w:r>
      <w:r w:rsidR="00EB4C32">
        <w:rPr>
          <w:rFonts w:ascii="Times New Roman" w:hAnsi="Times New Roman" w:cs="Times New Roman"/>
          <w:color w:val="222222"/>
          <w:sz w:val="24"/>
          <w:szCs w:val="24"/>
          <w:shd w:val="clear" w:color="auto" w:fill="FFFFFF"/>
        </w:rPr>
        <w:fldChar w:fldCharType="begin" w:fldLock="1"/>
      </w:r>
      <w:r w:rsidR="00EB4C32">
        <w:rPr>
          <w:rFonts w:ascii="Times New Roman" w:hAnsi="Times New Roman" w:cs="Times New Roman"/>
          <w:color w:val="222222"/>
          <w:sz w:val="24"/>
          <w:szCs w:val="24"/>
          <w:shd w:val="clear" w:color="auto" w:fill="FFFFFF"/>
        </w:rPr>
        <w:instrText>ADDIN CSL_CITATION {"citationItems":[{"id":"ITEM-1","itemData":{"URL":"www.fishbase.org","author":[{"dropping-particle":"","family":"Froese","given":"R.","non-dropping-particle":"","parse-names":false,"suffix":""},{"dropping-particle":"","family":"Pauly","given":"D.","non-dropping-particle":"","parse-names":false,"suffix":""}],"id":"ITEM-1","issued":{"date-parts":[["2023"]]},"title":"FishBase. World Wide Web electronic publication. www.fishbase.org, version (02/2023)","type":"webpage"},"uris":["http://www.mendeley.com/documents/?uuid=ab9275fb-3527-4257-b60e-a1117b827772"]}],"mendeley":{"formattedCitation":"(1)","plainTextFormattedCitation":"(1)","previouslyFormattedCitation":"(1)"},"properties":{"noteIndex":0},"schema":"https://github.com/citation-style-language/schema/raw/master/csl-citation.json"}</w:instrText>
      </w:r>
      <w:r w:rsidR="00EB4C32">
        <w:rPr>
          <w:rFonts w:ascii="Times New Roman" w:hAnsi="Times New Roman" w:cs="Times New Roman"/>
          <w:color w:val="222222"/>
          <w:sz w:val="24"/>
          <w:szCs w:val="24"/>
          <w:shd w:val="clear" w:color="auto" w:fill="FFFFFF"/>
        </w:rPr>
        <w:fldChar w:fldCharType="separate"/>
      </w:r>
      <w:r w:rsidR="00EB4C32" w:rsidRPr="00EB4C32">
        <w:rPr>
          <w:rFonts w:ascii="Times New Roman" w:hAnsi="Times New Roman" w:cs="Times New Roman"/>
          <w:noProof/>
          <w:color w:val="222222"/>
          <w:sz w:val="24"/>
          <w:szCs w:val="24"/>
          <w:shd w:val="clear" w:color="auto" w:fill="FFFFFF"/>
        </w:rPr>
        <w:t>(1)</w:t>
      </w:r>
      <w:r w:rsidR="00EB4C32">
        <w:rPr>
          <w:rFonts w:ascii="Times New Roman" w:hAnsi="Times New Roman" w:cs="Times New Roman"/>
          <w:color w:val="222222"/>
          <w:sz w:val="24"/>
          <w:szCs w:val="24"/>
          <w:shd w:val="clear" w:color="auto" w:fill="FFFFFF"/>
        </w:rPr>
        <w:fldChar w:fldCharType="end"/>
      </w:r>
      <w:r w:rsidR="00EB4C32">
        <w:rPr>
          <w:rFonts w:ascii="Times New Roman" w:hAnsi="Times New Roman" w:cs="Times New Roman"/>
          <w:color w:val="222222"/>
          <w:sz w:val="24"/>
          <w:szCs w:val="24"/>
          <w:shd w:val="clear" w:color="auto" w:fill="FFFFFF"/>
        </w:rPr>
        <w:t xml:space="preserve"> and </w:t>
      </w:r>
      <w:proofErr w:type="spellStart"/>
      <w:r w:rsidR="00EB4C32" w:rsidRPr="00EB4C32">
        <w:rPr>
          <w:rFonts w:ascii="Times New Roman" w:hAnsi="Times New Roman" w:cs="Times New Roman"/>
          <w:color w:val="222222"/>
          <w:sz w:val="24"/>
          <w:szCs w:val="24"/>
          <w:shd w:val="clear" w:color="auto" w:fill="FFFFFF"/>
        </w:rPr>
        <w:t>Karaman</w:t>
      </w:r>
      <w:proofErr w:type="spellEnd"/>
      <w:r w:rsidR="00EB4C32">
        <w:rPr>
          <w:rFonts w:ascii="Times New Roman" w:hAnsi="Times New Roman" w:cs="Times New Roman"/>
          <w:color w:val="222222"/>
          <w:sz w:val="24"/>
          <w:szCs w:val="24"/>
          <w:shd w:val="clear" w:color="auto" w:fill="FFFFFF"/>
        </w:rPr>
        <w:t xml:space="preserve"> and </w:t>
      </w:r>
      <w:r w:rsidR="00EB4C32" w:rsidRPr="00EB4C32">
        <w:rPr>
          <w:rFonts w:ascii="Times New Roman" w:hAnsi="Times New Roman" w:cs="Times New Roman"/>
          <w:color w:val="222222"/>
          <w:sz w:val="24"/>
          <w:szCs w:val="24"/>
          <w:shd w:val="clear" w:color="auto" w:fill="FFFFFF"/>
        </w:rPr>
        <w:t xml:space="preserve">Pinkster </w:t>
      </w:r>
      <w:r w:rsidR="00EB4C32">
        <w:rPr>
          <w:rFonts w:ascii="Times New Roman" w:hAnsi="Times New Roman" w:cs="Times New Roman"/>
          <w:color w:val="222222"/>
          <w:sz w:val="24"/>
          <w:szCs w:val="24"/>
          <w:shd w:val="clear" w:color="auto" w:fill="FFFFFF"/>
        </w:rPr>
        <w:fldChar w:fldCharType="begin" w:fldLock="1"/>
      </w:r>
      <w:r w:rsidR="00EB4C32">
        <w:rPr>
          <w:rFonts w:ascii="Times New Roman" w:hAnsi="Times New Roman" w:cs="Times New Roman"/>
          <w:color w:val="222222"/>
          <w:sz w:val="24"/>
          <w:szCs w:val="24"/>
          <w:shd w:val="clear" w:color="auto" w:fill="FFFFFF"/>
        </w:rPr>
        <w:instrText>ADDIN CSL_CITATION {"citationItems":[{"id":"ITEM-1","itemData":{"DOI":"https://doi.org/10.1163/26660644-05702005","author":[{"dropping-particle":"","family":"Karaman","given":"Gordan S","non-dropping-particle":"","parse-names":false,"suffix":""},{"dropping-particle":"","family":"Pinkster","given":"Sjouk","non-dropping-particle":"","parse-names":false,"suffix":""}],"container-title":"Bijdragen tot de Dierkunde","id":"ITEM-1","issue":"2","issued":{"date-parts":[["1987"]]},"language":"English","page":"207-260","publisher":"Brill","publisher-place":"Leiden, The Netherlands","title":"Freshwater Gammarus species from Europe, North Africa and adjacent regions of Asia (Crustacea-Amphipoda).: Part III. &lt;i&gt;Gammarus balcanicus&lt;/i&gt;-group and related species","type":"article-journal","volume":"57"},"uris":["http://www.mendeley.com/documents/?uuid=05bb81cb-8722-4e8c-a702-e129fb8ce7ac"]}],"mendeley":{"formattedCitation":"(2)","plainTextFormattedCitation":"(2)","previouslyFormattedCitation":"(2)"},"properties":{"noteIndex":0},"schema":"https://github.com/citation-style-language/schema/raw/master/csl-citation.json"}</w:instrText>
      </w:r>
      <w:r w:rsidR="00EB4C32">
        <w:rPr>
          <w:rFonts w:ascii="Times New Roman" w:hAnsi="Times New Roman" w:cs="Times New Roman"/>
          <w:color w:val="222222"/>
          <w:sz w:val="24"/>
          <w:szCs w:val="24"/>
          <w:shd w:val="clear" w:color="auto" w:fill="FFFFFF"/>
        </w:rPr>
        <w:fldChar w:fldCharType="separate"/>
      </w:r>
      <w:r w:rsidR="00EB4C32" w:rsidRPr="00EB4C32">
        <w:rPr>
          <w:rFonts w:ascii="Times New Roman" w:hAnsi="Times New Roman" w:cs="Times New Roman"/>
          <w:noProof/>
          <w:color w:val="222222"/>
          <w:sz w:val="24"/>
          <w:szCs w:val="24"/>
          <w:shd w:val="clear" w:color="auto" w:fill="FFFFFF"/>
        </w:rPr>
        <w:t>(2)</w:t>
      </w:r>
      <w:r w:rsidR="00EB4C32">
        <w:rPr>
          <w:rFonts w:ascii="Times New Roman" w:hAnsi="Times New Roman" w:cs="Times New Roman"/>
          <w:color w:val="222222"/>
          <w:sz w:val="24"/>
          <w:szCs w:val="24"/>
          <w:shd w:val="clear" w:color="auto" w:fill="FFFFFF"/>
        </w:rPr>
        <w:fldChar w:fldCharType="end"/>
      </w:r>
      <w:r w:rsidR="00EB4C32" w:rsidRPr="00EB4C32">
        <w:rPr>
          <w:rFonts w:ascii="Times New Roman" w:hAnsi="Times New Roman" w:cs="Times New Roman"/>
          <w:color w:val="222222"/>
          <w:sz w:val="24"/>
          <w:szCs w:val="24"/>
          <w:shd w:val="clear" w:color="auto" w:fill="FFFFFF"/>
        </w:rPr>
        <w:t>,</w:t>
      </w:r>
      <w:r w:rsidR="00EB4C32">
        <w:rPr>
          <w:rFonts w:ascii="Times New Roman" w:hAnsi="Times New Roman" w:cs="Times New Roman"/>
          <w:color w:val="222222"/>
          <w:sz w:val="24"/>
          <w:szCs w:val="24"/>
          <w:shd w:val="clear" w:color="auto" w:fill="FFFFFF"/>
        </w:rPr>
        <w:t xml:space="preserve"> respectively,</w:t>
      </w:r>
      <w:r w:rsidR="00EB4C32" w:rsidRPr="00EB4C32">
        <w:rPr>
          <w:rFonts w:ascii="Times New Roman" w:hAnsi="Times New Roman" w:cs="Times New Roman"/>
          <w:color w:val="222222"/>
          <w:sz w:val="24"/>
          <w:szCs w:val="24"/>
          <w:shd w:val="clear" w:color="auto" w:fill="FFFFFF"/>
        </w:rPr>
        <w:t xml:space="preserve"> measured, decapitated and </w:t>
      </w:r>
      <w:r w:rsidR="00EB4C32">
        <w:rPr>
          <w:rFonts w:ascii="Times New Roman" w:hAnsi="Times New Roman" w:cs="Times New Roman"/>
          <w:sz w:val="24"/>
          <w:szCs w:val="24"/>
        </w:rPr>
        <w:t xml:space="preserve">screened on the acanthocephalan parasite </w:t>
      </w:r>
      <w:proofErr w:type="spellStart"/>
      <w:r w:rsidR="00EB4C32" w:rsidRPr="00052B57">
        <w:rPr>
          <w:rFonts w:ascii="Times New Roman" w:hAnsi="Times New Roman" w:cs="Times New Roman"/>
          <w:i/>
          <w:iCs/>
          <w:sz w:val="24"/>
          <w:szCs w:val="24"/>
        </w:rPr>
        <w:t>Pomphorhynchus</w:t>
      </w:r>
      <w:proofErr w:type="spellEnd"/>
      <w:r w:rsidR="00EB4C32" w:rsidRPr="00052B57">
        <w:rPr>
          <w:rFonts w:ascii="Times New Roman" w:hAnsi="Times New Roman" w:cs="Times New Roman"/>
          <w:i/>
          <w:iCs/>
          <w:sz w:val="24"/>
          <w:szCs w:val="24"/>
        </w:rPr>
        <w:t xml:space="preserve"> </w:t>
      </w:r>
      <w:proofErr w:type="spellStart"/>
      <w:r w:rsidR="00EB4C32" w:rsidRPr="00052B57">
        <w:rPr>
          <w:rFonts w:ascii="Times New Roman" w:hAnsi="Times New Roman" w:cs="Times New Roman"/>
          <w:i/>
          <w:iCs/>
          <w:sz w:val="24"/>
          <w:szCs w:val="24"/>
        </w:rPr>
        <w:t>tereticollis</w:t>
      </w:r>
      <w:proofErr w:type="spellEnd"/>
      <w:r w:rsidR="00EB4C32" w:rsidRPr="00052B57">
        <w:rPr>
          <w:rFonts w:ascii="Times New Roman" w:hAnsi="Times New Roman" w:cs="Times New Roman"/>
          <w:sz w:val="24"/>
          <w:szCs w:val="24"/>
        </w:rPr>
        <w:t xml:space="preserve"> (</w:t>
      </w:r>
      <w:proofErr w:type="spellStart"/>
      <w:r w:rsidR="00EB4C32" w:rsidRPr="00052B57">
        <w:rPr>
          <w:rFonts w:ascii="Times New Roman" w:hAnsi="Times New Roman" w:cs="Times New Roman"/>
          <w:sz w:val="24"/>
          <w:szCs w:val="24"/>
        </w:rPr>
        <w:t>Rudolphi</w:t>
      </w:r>
      <w:proofErr w:type="spellEnd"/>
      <w:r w:rsidR="00EB4C32" w:rsidRPr="00052B57">
        <w:rPr>
          <w:rFonts w:ascii="Times New Roman" w:hAnsi="Times New Roman" w:cs="Times New Roman"/>
          <w:sz w:val="24"/>
          <w:szCs w:val="24"/>
        </w:rPr>
        <w:t>)</w:t>
      </w:r>
      <w:r w:rsidR="00EB4C32">
        <w:rPr>
          <w:rFonts w:ascii="Times New Roman" w:hAnsi="Times New Roman" w:cs="Times New Roman"/>
          <w:sz w:val="24"/>
          <w:szCs w:val="24"/>
        </w:rPr>
        <w:t xml:space="preserve"> </w:t>
      </w:r>
      <w:r w:rsidR="00EB4C32" w:rsidRPr="00EB4C32">
        <w:rPr>
          <w:rFonts w:ascii="Times New Roman" w:hAnsi="Times New Roman" w:cs="Times New Roman"/>
          <w:color w:val="222222"/>
          <w:sz w:val="24"/>
          <w:szCs w:val="24"/>
          <w:shd w:val="clear" w:color="auto" w:fill="FFFFFF"/>
        </w:rPr>
        <w:t>under a stereo microscope</w:t>
      </w:r>
      <w:r w:rsidR="00EB4C32">
        <w:rPr>
          <w:rFonts w:ascii="Times New Roman" w:hAnsi="Times New Roman" w:cs="Times New Roman"/>
          <w:sz w:val="24"/>
          <w:szCs w:val="24"/>
        </w:rPr>
        <w:t xml:space="preserve"> in Petri dishes or </w:t>
      </w:r>
      <w:r w:rsidR="00EB4C32" w:rsidRPr="00EB4C32">
        <w:rPr>
          <w:rFonts w:ascii="Times New Roman" w:hAnsi="Times New Roman" w:cs="Times New Roman"/>
          <w:color w:val="222222"/>
          <w:sz w:val="24"/>
          <w:szCs w:val="24"/>
          <w:shd w:val="clear" w:color="auto" w:fill="FFFFFF"/>
        </w:rPr>
        <w:t>on an object glass with distilled water.</w:t>
      </w:r>
      <w:r w:rsidR="00EB4C32">
        <w:rPr>
          <w:rFonts w:ascii="Times New Roman" w:hAnsi="Times New Roman" w:cs="Times New Roman"/>
          <w:color w:val="222222"/>
          <w:sz w:val="24"/>
          <w:szCs w:val="24"/>
          <w:shd w:val="clear" w:color="auto" w:fill="FFFFFF"/>
        </w:rPr>
        <w:t xml:space="preserve"> Helminths were </w:t>
      </w:r>
      <w:r w:rsidR="00EB4C32">
        <w:rPr>
          <w:rFonts w:ascii="Times New Roman" w:hAnsi="Times New Roman" w:cs="Times New Roman"/>
          <w:sz w:val="24"/>
          <w:szCs w:val="24"/>
        </w:rPr>
        <w:t xml:space="preserve">sampled, counted and fixed for morphologic identification. The identification of </w:t>
      </w:r>
      <w:r w:rsidR="00EB4C32" w:rsidRPr="00052B57">
        <w:rPr>
          <w:rFonts w:ascii="Times New Roman" w:hAnsi="Times New Roman" w:cs="Times New Roman"/>
          <w:i/>
          <w:iCs/>
          <w:sz w:val="24"/>
          <w:szCs w:val="24"/>
        </w:rPr>
        <w:t>P</w:t>
      </w:r>
      <w:r w:rsidR="00EB4C32">
        <w:rPr>
          <w:rFonts w:ascii="Times New Roman" w:hAnsi="Times New Roman" w:cs="Times New Roman"/>
          <w:i/>
          <w:iCs/>
          <w:sz w:val="24"/>
          <w:szCs w:val="24"/>
        </w:rPr>
        <w:t>.</w:t>
      </w:r>
      <w:r w:rsidR="00EB4C32" w:rsidRPr="00052B57">
        <w:rPr>
          <w:rFonts w:ascii="Times New Roman" w:hAnsi="Times New Roman" w:cs="Times New Roman"/>
          <w:i/>
          <w:iCs/>
          <w:sz w:val="24"/>
          <w:szCs w:val="24"/>
        </w:rPr>
        <w:t xml:space="preserve"> </w:t>
      </w:r>
      <w:proofErr w:type="spellStart"/>
      <w:r w:rsidR="00EB4C32" w:rsidRPr="00052B57">
        <w:rPr>
          <w:rFonts w:ascii="Times New Roman" w:hAnsi="Times New Roman" w:cs="Times New Roman"/>
          <w:i/>
          <w:iCs/>
          <w:sz w:val="24"/>
          <w:szCs w:val="24"/>
        </w:rPr>
        <w:t>tereticollis</w:t>
      </w:r>
      <w:proofErr w:type="spellEnd"/>
      <w:r w:rsidR="00EB4C32">
        <w:rPr>
          <w:rFonts w:ascii="Times New Roman" w:hAnsi="Times New Roman" w:cs="Times New Roman"/>
          <w:i/>
          <w:iCs/>
          <w:sz w:val="24"/>
          <w:szCs w:val="24"/>
        </w:rPr>
        <w:t xml:space="preserve"> </w:t>
      </w:r>
      <w:r w:rsidR="00EB4C32">
        <w:rPr>
          <w:rFonts w:ascii="Times New Roman" w:hAnsi="Times New Roman" w:cs="Times New Roman"/>
          <w:sz w:val="24"/>
          <w:szCs w:val="24"/>
        </w:rPr>
        <w:t xml:space="preserve">was performed according to </w:t>
      </w:r>
      <w:r w:rsidR="00EB4C32">
        <w:rPr>
          <w:rFonts w:ascii="Times New Roman" w:hAnsi="Times New Roman" w:cs="Times New Roman"/>
          <w:sz w:val="24"/>
          <w:szCs w:val="24"/>
          <w:lang w:val="sk-SK"/>
        </w:rPr>
        <w:t xml:space="preserve">Špakulová et al. </w:t>
      </w:r>
      <w:r w:rsidR="00EB4C32">
        <w:rPr>
          <w:rFonts w:ascii="Times New Roman" w:hAnsi="Times New Roman" w:cs="Times New Roman"/>
          <w:sz w:val="24"/>
          <w:szCs w:val="24"/>
        </w:rPr>
        <w:fldChar w:fldCharType="begin" w:fldLock="1"/>
      </w:r>
      <w:r w:rsidR="00EB4C32">
        <w:rPr>
          <w:rFonts w:ascii="Times New Roman" w:hAnsi="Times New Roman" w:cs="Times New Roman"/>
          <w:sz w:val="24"/>
          <w:szCs w:val="24"/>
        </w:rPr>
        <w:instrText>ADDIN CSL_CITATION {"citationItems":[{"id":"ITEM-1","itemData":{"DOI":"10.2478/s11687-011-0038-y","ISSN":"1336-9083","abstract":"Pomphorhynchus tereticollis (Rudolphi, 1809) is here redescribed on the basis of Rudolphi’s material, deposited in the Museum für Naturkunde Berlin, and on acanthocephalans recently collected from the type host Platichthys flessus (L.) and the region embodying the type locality. Out of the paratypes of P. tereticollis, the lectotype and paralectotypes have been designated. Their morphology fits well with that of newly collected material of P. tereticollis dissected from the type fish host from the Baltic coast near Stralsund. The resurrection of P. tereticollis, previously considered a synonym of Pomphorhynchus laevis (Zoega in Müller, 1779), is supported by several morphological features distinguishing the two Pomphorhynchus species: 1. The basal parts of the proboscis hooks located on the posterior proboscis half possess proximal projections in P. tereticollis but not in P. laevis. This shape of the hook bases is clearly visible only in unfixed fresh worms; 2. The last hooks are situated at the anterior part of the bulbus or rarely at the posterior-most end of the proboscis in P. tereticollis, while they lie anterior to the end of the proboscis in P. laevis; 3. The proboscis hooks No. 5 or 6 are markedly stout (robust) and clearly distinct in comparison with the surrounding hooks in P. tereticollis, while less robust and more similar to the hooks in P. laevis. In addition, genetic divergence between P. tereticollis and P. laevis based on ITS1, ITS2 and COI sequencing supports the existence of two distinct species and reveals that some isolates previously identified as P. laevis were actually P. tereticollis. Previous and present morphological and genetic data show that both Pomphorhynchus species occur in freshwaters throughout Europe and may infect the same fish hosts, such as chub and barbel, and also several species of isopods (Gammaridae). This study also provides morphological evidence that Pomphorhynchus intermedius Engelbrecht, 1957 is a synonym of P. tereticollis, because the only discrimination character of the former species, the “existing but small proximal projections of basal parts of the proboscis hooks located on the posterior proboscis half” are present also in P. tereticollis.","author":[{"dropping-particle":"","family":"Špakulová","given":"M.","non-dropping-particle":"","parse-names":false,"suffix":""},{"dropping-particle":"","family":"Perrot-Minnot","given":"M.","non-dropping-particle":"","parse-names":false,"suffix":""},{"dropping-particle":"","family":"Neuhaus","given":"B.","non-dropping-particle":"","parse-names":false,"suffix":""}],"container-title":"Helminthologia","id":"ITEM-1","issue":"4","issued":{"date-parts":[["2011","12","1"]]},"page":"268-277","title":"Resurrection of &lt;i&gt;Pomphorhynchus tereticollis&lt;/i&gt; (Rudolphi, 1809) (Acanthocephala: Pomphorhynchidae) based on new morphological and molecular data","type":"article-journal","volume":"48"},"uris":["http://www.mendeley.com/documents/?uuid=9fe7040f-0273-4a58-bee8-fdc65bea336f"]}],"mendeley":{"formattedCitation":"(3)","plainTextFormattedCitation":"(3)","previouslyFormattedCitation":"(3)"},"properties":{"noteIndex":0},"schema":"https://github.com/citation-style-language/schema/raw/master/csl-citation.json"}</w:instrText>
      </w:r>
      <w:r w:rsidR="00EB4C32">
        <w:rPr>
          <w:rFonts w:ascii="Times New Roman" w:hAnsi="Times New Roman" w:cs="Times New Roman"/>
          <w:sz w:val="24"/>
          <w:szCs w:val="24"/>
        </w:rPr>
        <w:fldChar w:fldCharType="separate"/>
      </w:r>
      <w:r w:rsidR="00EB4C32" w:rsidRPr="00EB4C32">
        <w:rPr>
          <w:rFonts w:ascii="Times New Roman" w:hAnsi="Times New Roman" w:cs="Times New Roman"/>
          <w:noProof/>
          <w:sz w:val="24"/>
          <w:szCs w:val="24"/>
        </w:rPr>
        <w:t>(3)</w:t>
      </w:r>
      <w:r w:rsidR="00EB4C32">
        <w:rPr>
          <w:rFonts w:ascii="Times New Roman" w:hAnsi="Times New Roman" w:cs="Times New Roman"/>
          <w:sz w:val="24"/>
          <w:szCs w:val="24"/>
        </w:rPr>
        <w:fldChar w:fldCharType="end"/>
      </w:r>
      <w:r w:rsidR="00EB4C32">
        <w:rPr>
          <w:rFonts w:ascii="Times New Roman" w:hAnsi="Times New Roman" w:cs="Times New Roman"/>
          <w:sz w:val="24"/>
          <w:szCs w:val="24"/>
        </w:rPr>
        <w:t xml:space="preserve">. </w:t>
      </w:r>
    </w:p>
    <w:p w14:paraId="607BDF38" w14:textId="0AE527EF" w:rsidR="00EB4C32" w:rsidRPr="006F5DC3" w:rsidRDefault="00EB4C32" w:rsidP="00EB4C32">
      <w:pPr>
        <w:spacing w:after="0" w:line="480" w:lineRule="auto"/>
        <w:ind w:firstLine="567"/>
        <w:jc w:val="both"/>
        <w:rPr>
          <w:rFonts w:ascii="Times New Roman" w:hAnsi="Times New Roman" w:cs="Times New Roman"/>
          <w:color w:val="222222"/>
          <w:sz w:val="24"/>
          <w:szCs w:val="24"/>
          <w:shd w:val="clear" w:color="auto" w:fill="FFFFFF"/>
        </w:rPr>
      </w:pPr>
      <w:r>
        <w:rPr>
          <w:rFonts w:ascii="Times New Roman" w:hAnsi="Times New Roman" w:cs="Times New Roman"/>
          <w:sz w:val="24"/>
          <w:szCs w:val="24"/>
        </w:rPr>
        <w:t xml:space="preserve">The data on </w:t>
      </w:r>
      <w:r w:rsidR="006F5DC3">
        <w:rPr>
          <w:rFonts w:ascii="Times New Roman" w:hAnsi="Times New Roman" w:cs="Times New Roman"/>
          <w:sz w:val="24"/>
          <w:szCs w:val="24"/>
        </w:rPr>
        <w:t xml:space="preserve">the </w:t>
      </w:r>
      <w:r>
        <w:rPr>
          <w:rFonts w:ascii="Times New Roman" w:hAnsi="Times New Roman" w:cs="Times New Roman"/>
          <w:sz w:val="24"/>
          <w:szCs w:val="24"/>
        </w:rPr>
        <w:t>prevalence</w:t>
      </w:r>
      <w:r w:rsidR="006F5DC3">
        <w:rPr>
          <w:rFonts w:ascii="Times New Roman" w:hAnsi="Times New Roman" w:cs="Times New Roman"/>
          <w:sz w:val="24"/>
          <w:szCs w:val="24"/>
        </w:rPr>
        <w:t xml:space="preserve"> of </w:t>
      </w:r>
      <w:r w:rsidR="006F5DC3" w:rsidRPr="00052B57">
        <w:rPr>
          <w:rFonts w:ascii="Times New Roman" w:hAnsi="Times New Roman" w:cs="Times New Roman"/>
          <w:i/>
          <w:iCs/>
          <w:sz w:val="24"/>
          <w:szCs w:val="24"/>
        </w:rPr>
        <w:t>P</w:t>
      </w:r>
      <w:r w:rsidR="006F5DC3">
        <w:rPr>
          <w:rFonts w:ascii="Times New Roman" w:hAnsi="Times New Roman" w:cs="Times New Roman"/>
          <w:i/>
          <w:iCs/>
          <w:sz w:val="24"/>
          <w:szCs w:val="24"/>
        </w:rPr>
        <w:t>.</w:t>
      </w:r>
      <w:r w:rsidR="006F5DC3" w:rsidRPr="00052B57">
        <w:rPr>
          <w:rFonts w:ascii="Times New Roman" w:hAnsi="Times New Roman" w:cs="Times New Roman"/>
          <w:i/>
          <w:iCs/>
          <w:sz w:val="24"/>
          <w:szCs w:val="24"/>
        </w:rPr>
        <w:t xml:space="preserve"> </w:t>
      </w:r>
      <w:proofErr w:type="spellStart"/>
      <w:r w:rsidR="006F5DC3" w:rsidRPr="00052B57">
        <w:rPr>
          <w:rFonts w:ascii="Times New Roman" w:hAnsi="Times New Roman" w:cs="Times New Roman"/>
          <w:i/>
          <w:iCs/>
          <w:sz w:val="24"/>
          <w:szCs w:val="24"/>
        </w:rPr>
        <w:t>tereticollis</w:t>
      </w:r>
      <w:proofErr w:type="spellEnd"/>
      <w:r>
        <w:rPr>
          <w:rFonts w:ascii="Times New Roman" w:hAnsi="Times New Roman" w:cs="Times New Roman"/>
          <w:sz w:val="24"/>
          <w:szCs w:val="24"/>
        </w:rPr>
        <w:t xml:space="preserve"> </w:t>
      </w:r>
      <w:r w:rsidR="006F5DC3">
        <w:rPr>
          <w:rFonts w:ascii="Times New Roman" w:hAnsi="Times New Roman" w:cs="Times New Roman"/>
          <w:sz w:val="24"/>
          <w:szCs w:val="24"/>
        </w:rPr>
        <w:t xml:space="preserve">in </w:t>
      </w:r>
      <w:r>
        <w:rPr>
          <w:rFonts w:ascii="Times New Roman" w:hAnsi="Times New Roman" w:cs="Times New Roman"/>
          <w:sz w:val="24"/>
          <w:szCs w:val="24"/>
        </w:rPr>
        <w:t xml:space="preserve">crustacean and fish hosts from the same locality </w:t>
      </w:r>
      <w:r w:rsidR="006F5DC3">
        <w:rPr>
          <w:rFonts w:ascii="Times New Roman" w:hAnsi="Times New Roman" w:cs="Times New Roman"/>
          <w:sz w:val="24"/>
          <w:szCs w:val="24"/>
        </w:rPr>
        <w:t xml:space="preserve">in 2001 </w:t>
      </w:r>
      <w:r>
        <w:rPr>
          <w:rFonts w:ascii="Times New Roman" w:hAnsi="Times New Roman" w:cs="Times New Roman"/>
          <w:sz w:val="24"/>
          <w:szCs w:val="24"/>
        </w:rPr>
        <w:t>w</w:t>
      </w:r>
      <w:r w:rsidR="006F5DC3">
        <w:rPr>
          <w:rFonts w:ascii="Times New Roman" w:hAnsi="Times New Roman" w:cs="Times New Roman"/>
          <w:sz w:val="24"/>
          <w:szCs w:val="24"/>
        </w:rPr>
        <w:t>ere</w:t>
      </w:r>
      <w:r>
        <w:rPr>
          <w:rFonts w:ascii="Times New Roman" w:hAnsi="Times New Roman" w:cs="Times New Roman"/>
          <w:sz w:val="24"/>
          <w:szCs w:val="24"/>
        </w:rPr>
        <w:t xml:space="preserve"> obtained from published source</w:t>
      </w:r>
      <w:r w:rsidR="00E41599">
        <w:rPr>
          <w:rFonts w:ascii="Times New Roman" w:hAnsi="Times New Roman" w:cs="Times New Roman"/>
          <w:sz w:val="24"/>
          <w:szCs w:val="24"/>
        </w:rPr>
        <w:t>s</w:t>
      </w:r>
      <w:r>
        <w:rPr>
          <w:rFonts w:ascii="Times New Roman" w:hAnsi="Times New Roman" w:cs="Times New Roman"/>
          <w:sz w:val="24"/>
          <w:szCs w:val="24"/>
        </w:rPr>
        <w:t xml:space="preserve"> </w:t>
      </w:r>
      <w:r>
        <w:rPr>
          <w:rFonts w:ascii="Times New Roman" w:hAnsi="Times New Roman" w:cs="Times New Roman"/>
          <w:sz w:val="24"/>
          <w:szCs w:val="24"/>
        </w:rPr>
        <w:fldChar w:fldCharType="begin" w:fldLock="1"/>
      </w:r>
      <w:r>
        <w:rPr>
          <w:rFonts w:ascii="Times New Roman" w:hAnsi="Times New Roman" w:cs="Times New Roman"/>
          <w:sz w:val="24"/>
          <w:szCs w:val="24"/>
        </w:rPr>
        <w:instrText>ADDIN CSL_CITATION {"citationItems":[{"id":"ITEM-1","itemData":{"DOI":"10.1051/parasite/2003103257","ISSN":"1252-607X","author":[{"dropping-particle":"","family":"Dudiňák","given":"V.","non-dropping-particle":"","parse-names":false,"suffix":""},{"dropping-particle":"","family":"Špakulová","given":"M.","non-dropping-particle":"","parse-names":false,"suffix":""}],"container-title":"Parasite","id":"ITEM-1","issue":"3","issued":{"date-parts":[["2003","9","26"]]},"page":"257-262","title":"The life cycle and seasonal changes in the occurrence of &lt;i&gt;Pomphorhynchus laevis&lt;/i&gt; (Palaeacanthocephala, Pomphorhynchidae) in a small isolated lake","type":"article-journal","volume":"10"},"uris":["http://www.mendeley.com/documents/?uuid=b0af0b65-3779-4e5d-a4be-641f63d8884f"]}],"mendeley":{"formattedCitation":"(4)","plainTextFormattedCitation":"(4)"},"properties":{"noteIndex":0},"schema":"https://github.com/citation-style-language/schema/raw/master/csl-citation.json"}</w:instrText>
      </w:r>
      <w:r>
        <w:rPr>
          <w:rFonts w:ascii="Times New Roman" w:hAnsi="Times New Roman" w:cs="Times New Roman"/>
          <w:sz w:val="24"/>
          <w:szCs w:val="24"/>
        </w:rPr>
        <w:fldChar w:fldCharType="separate"/>
      </w:r>
      <w:r w:rsidRPr="00EB4C32">
        <w:rPr>
          <w:rFonts w:ascii="Times New Roman" w:hAnsi="Times New Roman" w:cs="Times New Roman"/>
          <w:noProof/>
          <w:sz w:val="24"/>
          <w:szCs w:val="24"/>
        </w:rPr>
        <w:t>(4)</w:t>
      </w:r>
      <w:r>
        <w:rPr>
          <w:rFonts w:ascii="Times New Roman" w:hAnsi="Times New Roman" w:cs="Times New Roman"/>
          <w:sz w:val="24"/>
          <w:szCs w:val="24"/>
        </w:rPr>
        <w:fldChar w:fldCharType="end"/>
      </w:r>
      <w:r w:rsidR="00E41599">
        <w:rPr>
          <w:rFonts w:ascii="Times New Roman" w:hAnsi="Times New Roman" w:cs="Times New Roman"/>
          <w:sz w:val="24"/>
          <w:szCs w:val="24"/>
        </w:rPr>
        <w:t>.</w:t>
      </w:r>
      <w:r w:rsidR="006F5DC3">
        <w:rPr>
          <w:rFonts w:ascii="Times New Roman" w:hAnsi="Times New Roman" w:cs="Times New Roman"/>
          <w:sz w:val="24"/>
          <w:szCs w:val="24"/>
        </w:rPr>
        <w:t xml:space="preserve"> These data include surveys of parasites from 612 </w:t>
      </w:r>
      <w:r w:rsidR="00777AA7">
        <w:rPr>
          <w:rFonts w:ascii="Times New Roman" w:hAnsi="Times New Roman" w:cs="Times New Roman"/>
          <w:sz w:val="24"/>
          <w:szCs w:val="24"/>
        </w:rPr>
        <w:t xml:space="preserve">(280 infected) </w:t>
      </w:r>
      <w:r w:rsidR="006F5DC3">
        <w:rPr>
          <w:rFonts w:ascii="Times New Roman" w:hAnsi="Times New Roman" w:cs="Times New Roman"/>
          <w:sz w:val="24"/>
          <w:szCs w:val="24"/>
        </w:rPr>
        <w:t xml:space="preserve">individuals of </w:t>
      </w:r>
      <w:r w:rsidR="006F5DC3" w:rsidRPr="00052B57">
        <w:rPr>
          <w:rFonts w:ascii="Times New Roman" w:hAnsi="Times New Roman" w:cs="Times New Roman"/>
          <w:i/>
          <w:iCs/>
          <w:sz w:val="24"/>
          <w:szCs w:val="24"/>
        </w:rPr>
        <w:t>G</w:t>
      </w:r>
      <w:r w:rsidR="006F5DC3">
        <w:rPr>
          <w:rFonts w:ascii="Times New Roman" w:hAnsi="Times New Roman" w:cs="Times New Roman"/>
          <w:i/>
          <w:iCs/>
          <w:sz w:val="24"/>
          <w:szCs w:val="24"/>
        </w:rPr>
        <w:t>.</w:t>
      </w:r>
      <w:r w:rsidR="006F5DC3" w:rsidRPr="00052B57">
        <w:rPr>
          <w:rFonts w:ascii="Times New Roman" w:hAnsi="Times New Roman" w:cs="Times New Roman"/>
          <w:i/>
          <w:iCs/>
          <w:sz w:val="24"/>
          <w:szCs w:val="24"/>
        </w:rPr>
        <w:t xml:space="preserve"> </w:t>
      </w:r>
      <w:proofErr w:type="spellStart"/>
      <w:r w:rsidR="006F5DC3" w:rsidRPr="00052B57">
        <w:rPr>
          <w:rFonts w:ascii="Times New Roman" w:hAnsi="Times New Roman" w:cs="Times New Roman"/>
          <w:i/>
          <w:iCs/>
          <w:sz w:val="24"/>
          <w:szCs w:val="24"/>
        </w:rPr>
        <w:t>balcanicus</w:t>
      </w:r>
      <w:proofErr w:type="spellEnd"/>
      <w:r w:rsidR="006F5DC3">
        <w:rPr>
          <w:rFonts w:ascii="Times New Roman" w:hAnsi="Times New Roman" w:cs="Times New Roman"/>
          <w:i/>
          <w:iCs/>
          <w:sz w:val="24"/>
          <w:szCs w:val="24"/>
        </w:rPr>
        <w:t xml:space="preserve"> </w:t>
      </w:r>
      <w:r w:rsidR="006F5DC3">
        <w:rPr>
          <w:rFonts w:ascii="Times New Roman" w:hAnsi="Times New Roman" w:cs="Times New Roman"/>
          <w:sz w:val="24"/>
          <w:szCs w:val="24"/>
        </w:rPr>
        <w:t>and 129</w:t>
      </w:r>
      <w:r w:rsidR="00777AA7">
        <w:rPr>
          <w:rFonts w:ascii="Times New Roman" w:hAnsi="Times New Roman" w:cs="Times New Roman"/>
          <w:sz w:val="24"/>
          <w:szCs w:val="24"/>
        </w:rPr>
        <w:t xml:space="preserve"> (112 infected)</w:t>
      </w:r>
      <w:r w:rsidR="006F5DC3">
        <w:rPr>
          <w:rFonts w:ascii="Times New Roman" w:hAnsi="Times New Roman" w:cs="Times New Roman"/>
          <w:sz w:val="24"/>
          <w:szCs w:val="24"/>
        </w:rPr>
        <w:t xml:space="preserve"> individuals of </w:t>
      </w:r>
      <w:r w:rsidR="006F5DC3" w:rsidRPr="00052B57">
        <w:rPr>
          <w:rFonts w:ascii="Times New Roman" w:hAnsi="Times New Roman" w:cs="Times New Roman"/>
          <w:i/>
          <w:iCs/>
          <w:sz w:val="24"/>
          <w:szCs w:val="24"/>
        </w:rPr>
        <w:t>P</w:t>
      </w:r>
      <w:r w:rsidR="006F5DC3">
        <w:rPr>
          <w:rFonts w:ascii="Times New Roman" w:hAnsi="Times New Roman" w:cs="Times New Roman"/>
          <w:i/>
          <w:iCs/>
          <w:sz w:val="24"/>
          <w:szCs w:val="24"/>
        </w:rPr>
        <w:t>.</w:t>
      </w:r>
      <w:r w:rsidR="006F5DC3" w:rsidRPr="00052B57">
        <w:rPr>
          <w:rFonts w:ascii="Times New Roman" w:hAnsi="Times New Roman" w:cs="Times New Roman"/>
          <w:i/>
          <w:iCs/>
          <w:sz w:val="24"/>
          <w:szCs w:val="24"/>
        </w:rPr>
        <w:t xml:space="preserve"> </w:t>
      </w:r>
      <w:proofErr w:type="spellStart"/>
      <w:r w:rsidR="006F5DC3" w:rsidRPr="00052B57">
        <w:rPr>
          <w:rFonts w:ascii="Times New Roman" w:hAnsi="Times New Roman" w:cs="Times New Roman"/>
          <w:i/>
          <w:iCs/>
          <w:sz w:val="24"/>
          <w:szCs w:val="24"/>
        </w:rPr>
        <w:t>phoxinus</w:t>
      </w:r>
      <w:proofErr w:type="spellEnd"/>
      <w:r w:rsidR="006F5DC3">
        <w:rPr>
          <w:rFonts w:ascii="Times New Roman" w:hAnsi="Times New Roman" w:cs="Times New Roman"/>
          <w:i/>
          <w:iCs/>
          <w:sz w:val="24"/>
          <w:szCs w:val="24"/>
        </w:rPr>
        <w:t>.</w:t>
      </w:r>
    </w:p>
    <w:p w14:paraId="106DF909" w14:textId="24A4BEFD" w:rsidR="00EB4C32" w:rsidRPr="00EB4C32" w:rsidRDefault="00EB4C32" w:rsidP="00EB4C32">
      <w:pPr>
        <w:spacing w:after="0" w:line="480" w:lineRule="auto"/>
        <w:rPr>
          <w:rFonts w:ascii="Times New Roman" w:hAnsi="Times New Roman" w:cs="Times New Roman"/>
          <w:b/>
          <w:bCs/>
          <w:sz w:val="24"/>
          <w:szCs w:val="24"/>
        </w:rPr>
      </w:pPr>
      <w:r w:rsidRPr="00EB4C32">
        <w:rPr>
          <w:rFonts w:ascii="Times New Roman" w:hAnsi="Times New Roman" w:cs="Times New Roman"/>
          <w:b/>
          <w:bCs/>
          <w:sz w:val="24"/>
          <w:szCs w:val="24"/>
        </w:rPr>
        <w:t>References</w:t>
      </w:r>
    </w:p>
    <w:p w14:paraId="557416A7" w14:textId="7DF20205" w:rsidR="00EB4C32" w:rsidRPr="00EB4C32" w:rsidRDefault="00EB4C32" w:rsidP="00EB4C32">
      <w:pPr>
        <w:widowControl w:val="0"/>
        <w:autoSpaceDE w:val="0"/>
        <w:autoSpaceDN w:val="0"/>
        <w:adjustRightInd w:val="0"/>
        <w:spacing w:after="0" w:line="480" w:lineRule="auto"/>
        <w:ind w:left="640" w:hanging="640"/>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Pr="00EB4C32">
        <w:rPr>
          <w:rFonts w:ascii="Times New Roman" w:hAnsi="Times New Roman" w:cs="Times New Roman"/>
          <w:noProof/>
          <w:sz w:val="24"/>
          <w:szCs w:val="24"/>
        </w:rPr>
        <w:t xml:space="preserve">1. </w:t>
      </w:r>
      <w:r w:rsidRPr="00EB4C32">
        <w:rPr>
          <w:rFonts w:ascii="Times New Roman" w:hAnsi="Times New Roman" w:cs="Times New Roman"/>
          <w:noProof/>
          <w:sz w:val="24"/>
          <w:szCs w:val="24"/>
        </w:rPr>
        <w:tab/>
        <w:t>Froese R, Pauly D. FishBase. World Wide Web electronic publication. www.fishbase.org, version (02/2023) [Internet]. 2023. Available from: www.fishbase.org</w:t>
      </w:r>
    </w:p>
    <w:p w14:paraId="6195EF97" w14:textId="77777777" w:rsidR="00EB4C32" w:rsidRPr="00EB4C32" w:rsidRDefault="00EB4C32" w:rsidP="00EB4C32">
      <w:pPr>
        <w:widowControl w:val="0"/>
        <w:autoSpaceDE w:val="0"/>
        <w:autoSpaceDN w:val="0"/>
        <w:adjustRightInd w:val="0"/>
        <w:spacing w:after="0" w:line="480" w:lineRule="auto"/>
        <w:ind w:left="640" w:hanging="640"/>
        <w:rPr>
          <w:rFonts w:ascii="Times New Roman" w:hAnsi="Times New Roman" w:cs="Times New Roman"/>
          <w:noProof/>
          <w:sz w:val="24"/>
          <w:szCs w:val="24"/>
        </w:rPr>
      </w:pPr>
      <w:r w:rsidRPr="00EB4C32">
        <w:rPr>
          <w:rFonts w:ascii="Times New Roman" w:hAnsi="Times New Roman" w:cs="Times New Roman"/>
          <w:noProof/>
          <w:sz w:val="24"/>
          <w:szCs w:val="24"/>
        </w:rPr>
        <w:t xml:space="preserve">2. </w:t>
      </w:r>
      <w:r w:rsidRPr="00EB4C32">
        <w:rPr>
          <w:rFonts w:ascii="Times New Roman" w:hAnsi="Times New Roman" w:cs="Times New Roman"/>
          <w:noProof/>
          <w:sz w:val="24"/>
          <w:szCs w:val="24"/>
        </w:rPr>
        <w:tab/>
        <w:t xml:space="preserve">Karaman GS, Pinkster S. Freshwater Gammarus species from Europe, North Africa and adjacent regions of Asia (Crustacea-Amphipoda).: Part III. </w:t>
      </w:r>
      <w:r w:rsidRPr="00EB4C32">
        <w:rPr>
          <w:rFonts w:ascii="Times New Roman" w:hAnsi="Times New Roman" w:cs="Times New Roman"/>
          <w:i/>
          <w:iCs/>
          <w:noProof/>
          <w:sz w:val="24"/>
          <w:szCs w:val="24"/>
        </w:rPr>
        <w:t>Gammarus balcanicus</w:t>
      </w:r>
      <w:r w:rsidRPr="00EB4C32">
        <w:rPr>
          <w:rFonts w:ascii="Times New Roman" w:hAnsi="Times New Roman" w:cs="Times New Roman"/>
          <w:noProof/>
          <w:sz w:val="24"/>
          <w:szCs w:val="24"/>
        </w:rPr>
        <w:t>-group and related species. Bijdr tot Dierkd [Internet]. 1987;57(2):207–60. Available from: https://brill.com/view/journals/btd/57/2/article-p207_5.xml</w:t>
      </w:r>
    </w:p>
    <w:p w14:paraId="50155569" w14:textId="77777777" w:rsidR="00EB4C32" w:rsidRPr="00EB4C32" w:rsidRDefault="00EB4C32" w:rsidP="00EB4C32">
      <w:pPr>
        <w:widowControl w:val="0"/>
        <w:autoSpaceDE w:val="0"/>
        <w:autoSpaceDN w:val="0"/>
        <w:adjustRightInd w:val="0"/>
        <w:spacing w:after="0" w:line="480" w:lineRule="auto"/>
        <w:ind w:left="640" w:hanging="640"/>
        <w:rPr>
          <w:rFonts w:ascii="Times New Roman" w:hAnsi="Times New Roman" w:cs="Times New Roman"/>
          <w:noProof/>
          <w:sz w:val="24"/>
          <w:szCs w:val="24"/>
        </w:rPr>
      </w:pPr>
      <w:r w:rsidRPr="00EB4C32">
        <w:rPr>
          <w:rFonts w:ascii="Times New Roman" w:hAnsi="Times New Roman" w:cs="Times New Roman"/>
          <w:noProof/>
          <w:sz w:val="24"/>
          <w:szCs w:val="24"/>
        </w:rPr>
        <w:t xml:space="preserve">3. </w:t>
      </w:r>
      <w:r w:rsidRPr="00EB4C32">
        <w:rPr>
          <w:rFonts w:ascii="Times New Roman" w:hAnsi="Times New Roman" w:cs="Times New Roman"/>
          <w:noProof/>
          <w:sz w:val="24"/>
          <w:szCs w:val="24"/>
        </w:rPr>
        <w:tab/>
        <w:t xml:space="preserve">Špakulová M, Perrot-Minnot M, Neuhaus B. Resurrection of </w:t>
      </w:r>
      <w:r w:rsidRPr="00EB4C32">
        <w:rPr>
          <w:rFonts w:ascii="Times New Roman" w:hAnsi="Times New Roman" w:cs="Times New Roman"/>
          <w:i/>
          <w:iCs/>
          <w:noProof/>
          <w:sz w:val="24"/>
          <w:szCs w:val="24"/>
        </w:rPr>
        <w:t>Pomphorhynchus tereticollis</w:t>
      </w:r>
      <w:r w:rsidRPr="00EB4C32">
        <w:rPr>
          <w:rFonts w:ascii="Times New Roman" w:hAnsi="Times New Roman" w:cs="Times New Roman"/>
          <w:noProof/>
          <w:sz w:val="24"/>
          <w:szCs w:val="24"/>
        </w:rPr>
        <w:t xml:space="preserve"> (Rudolphi, 1809) (Acanthocephala: Pomphorhynchidae) based on new morphological and molecular data. Helminthologia [Internet]. 2011 Dec 1;48(4):268–</w:t>
      </w:r>
      <w:r w:rsidRPr="00EB4C32">
        <w:rPr>
          <w:rFonts w:ascii="Times New Roman" w:hAnsi="Times New Roman" w:cs="Times New Roman"/>
          <w:noProof/>
          <w:sz w:val="24"/>
          <w:szCs w:val="24"/>
        </w:rPr>
        <w:lastRenderedPageBreak/>
        <w:t>77. Available from: https://www.sciendo.com/article/10.2478/s11687-011-0038-y</w:t>
      </w:r>
    </w:p>
    <w:p w14:paraId="5D7A8A04" w14:textId="77777777" w:rsidR="00EB4C32" w:rsidRPr="00EB4C32" w:rsidRDefault="00EB4C32" w:rsidP="00EB4C32">
      <w:pPr>
        <w:widowControl w:val="0"/>
        <w:autoSpaceDE w:val="0"/>
        <w:autoSpaceDN w:val="0"/>
        <w:adjustRightInd w:val="0"/>
        <w:spacing w:after="0" w:line="480" w:lineRule="auto"/>
        <w:ind w:left="640" w:hanging="640"/>
        <w:rPr>
          <w:rFonts w:ascii="Times New Roman" w:hAnsi="Times New Roman" w:cs="Times New Roman"/>
          <w:noProof/>
          <w:sz w:val="24"/>
        </w:rPr>
      </w:pPr>
      <w:r w:rsidRPr="00EB4C32">
        <w:rPr>
          <w:rFonts w:ascii="Times New Roman" w:hAnsi="Times New Roman" w:cs="Times New Roman"/>
          <w:noProof/>
          <w:sz w:val="24"/>
          <w:szCs w:val="24"/>
        </w:rPr>
        <w:t xml:space="preserve">4. </w:t>
      </w:r>
      <w:r w:rsidRPr="00EB4C32">
        <w:rPr>
          <w:rFonts w:ascii="Times New Roman" w:hAnsi="Times New Roman" w:cs="Times New Roman"/>
          <w:noProof/>
          <w:sz w:val="24"/>
          <w:szCs w:val="24"/>
        </w:rPr>
        <w:tab/>
        <w:t xml:space="preserve">Dudiňák V, Špakulová M. The life cycle and seasonal changes in the occurrence of </w:t>
      </w:r>
      <w:r w:rsidRPr="00EB4C32">
        <w:rPr>
          <w:rFonts w:ascii="Times New Roman" w:hAnsi="Times New Roman" w:cs="Times New Roman"/>
          <w:i/>
          <w:iCs/>
          <w:noProof/>
          <w:sz w:val="24"/>
          <w:szCs w:val="24"/>
        </w:rPr>
        <w:t>Pomphorhynchus laevis</w:t>
      </w:r>
      <w:r w:rsidRPr="00EB4C32">
        <w:rPr>
          <w:rFonts w:ascii="Times New Roman" w:hAnsi="Times New Roman" w:cs="Times New Roman"/>
          <w:noProof/>
          <w:sz w:val="24"/>
          <w:szCs w:val="24"/>
        </w:rPr>
        <w:t xml:space="preserve"> (Palaeacanthocephala, Pomphorhynchidae) in a small isolated lake. Parasite [Internet]. 2003 Sep 26;10(3):257–62. Available from: http://www.parasite-journal.org/10.1051/parasite/2003103257</w:t>
      </w:r>
    </w:p>
    <w:p w14:paraId="5F3FB824" w14:textId="2F83EDB8" w:rsidR="00EB4C32" w:rsidRPr="00DD4873" w:rsidRDefault="00EB4C32" w:rsidP="00EB4C32">
      <w:pPr>
        <w:spacing w:after="0" w:line="480" w:lineRule="auto"/>
        <w:rPr>
          <w:rFonts w:ascii="Times New Roman" w:hAnsi="Times New Roman" w:cs="Times New Roman"/>
          <w:sz w:val="24"/>
          <w:szCs w:val="24"/>
        </w:rPr>
      </w:pPr>
      <w:r>
        <w:rPr>
          <w:rFonts w:ascii="Times New Roman" w:hAnsi="Times New Roman" w:cs="Times New Roman"/>
          <w:sz w:val="24"/>
          <w:szCs w:val="24"/>
        </w:rPr>
        <w:fldChar w:fldCharType="end"/>
      </w:r>
    </w:p>
    <w:sectPr w:rsidR="00EB4C32" w:rsidRPr="00DD487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657FD5"/>
    <w:multiLevelType w:val="multilevel"/>
    <w:tmpl w:val="B4408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bA0NjU2Njc2tDA3NTRR0lEKTi0uzszPAykwqwUAo/7wRywAAAA="/>
  </w:docVars>
  <w:rsids>
    <w:rsidRoot w:val="00DD4873"/>
    <w:rsid w:val="000E6C36"/>
    <w:rsid w:val="004D635B"/>
    <w:rsid w:val="006C6534"/>
    <w:rsid w:val="006F5DC3"/>
    <w:rsid w:val="00777AA7"/>
    <w:rsid w:val="00835E0B"/>
    <w:rsid w:val="00DD4873"/>
    <w:rsid w:val="00E41599"/>
    <w:rsid w:val="00EB4C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6A6AA"/>
  <w15:chartTrackingRefBased/>
  <w15:docId w15:val="{1738EBA1-F380-41CD-A9BB-E45A3D417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445934">
      <w:bodyDiv w:val="1"/>
      <w:marLeft w:val="0"/>
      <w:marRight w:val="0"/>
      <w:marTop w:val="0"/>
      <w:marBottom w:val="0"/>
      <w:divBdr>
        <w:top w:val="none" w:sz="0" w:space="0" w:color="auto"/>
        <w:left w:val="none" w:sz="0" w:space="0" w:color="auto"/>
        <w:bottom w:val="none" w:sz="0" w:space="0" w:color="auto"/>
        <w:right w:val="none" w:sz="0" w:space="0" w:color="auto"/>
      </w:divBdr>
    </w:div>
    <w:div w:id="1444157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3F104-9F65-46C8-AE84-028B0325E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1272</Words>
  <Characters>7254</Characters>
  <Application>Microsoft Office Word</Application>
  <DocSecurity>0</DocSecurity>
  <Lines>60</Lines>
  <Paragraphs>17</Paragraphs>
  <ScaleCrop>false</ScaleCrop>
  <Company/>
  <LinksUpToDate>false</LinksUpToDate>
  <CharactersWithSpaces>8509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cp:revision>
  <dcterms:created xsi:type="dcterms:W3CDTF">2025-03-11T19:50:00Z</dcterms:created>
  <dcterms:modified xsi:type="dcterms:W3CDTF">2025-03-11T19:50:00Z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http://www.zotero.org/styles/acs-applied-energy-materials</vt:lpwstr>
  </property>
  <property fmtid="{D5CDD505-2E9C-101B-9397-08002B2CF9AE}" pid="3" name="Mendeley Recent Style Name 0_1">
    <vt:lpwstr>ACS Applied Energy Materials</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7th edition</vt:lpwstr>
  </property>
  <property fmtid="{D5CDD505-2E9C-101B-9397-08002B2CF9AE}" pid="6" name="Mendeley Recent Style Id 2_1">
    <vt:lpwstr>http://www.zotero.org/styles/chicago-author-date</vt:lpwstr>
  </property>
  <property fmtid="{D5CDD505-2E9C-101B-9397-08002B2CF9AE}" pid="7" name="Mendeley Recent Style Name 2_1">
    <vt:lpwstr>Chicago Manual of Style 17th edition (author-date)</vt:lpwstr>
  </property>
  <property fmtid="{D5CDD505-2E9C-101B-9397-08002B2CF9AE}" pid="8" name="Mendeley Recent Style Id 3_1">
    <vt:lpwstr>http://www.zotero.org/styles/harvard-cite-them-right</vt:lpwstr>
  </property>
  <property fmtid="{D5CDD505-2E9C-101B-9397-08002B2CF9AE}" pid="9" name="Mendeley Recent Style Name 3_1">
    <vt:lpwstr>Cite Them Right 12th edition - Harvard</vt:lpwstr>
  </property>
  <property fmtid="{D5CDD505-2E9C-101B-9397-08002B2CF9AE}" pid="10" name="Mendeley Recent Style Id 4_1">
    <vt:lpwstr>http://www.zotero.org/styles/dstu-8302-2015</vt:lpwstr>
  </property>
  <property fmtid="{D5CDD505-2E9C-101B-9397-08002B2CF9AE}" pid="11" name="Mendeley Recent Style Name 4_1">
    <vt:lpwstr>DSTU 8302-2015</vt:lpwstr>
  </property>
  <property fmtid="{D5CDD505-2E9C-101B-9397-08002B2CF9AE}" pid="12" name="Mendeley Recent Style Id 5_1">
    <vt:lpwstr>http://www.zotero.org/styles/ecography</vt:lpwstr>
  </property>
  <property fmtid="{D5CDD505-2E9C-101B-9397-08002B2CF9AE}" pid="13" name="Mendeley Recent Style Name 5_1">
    <vt:lpwstr>Ecography</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http://www.zotero.org/styles/international-journal-for-parasitology</vt:lpwstr>
  </property>
  <property fmtid="{D5CDD505-2E9C-101B-9397-08002B2CF9AE}" pid="17" name="Mendeley Recent Style Name 7_1">
    <vt:lpwstr>International Journal for Parasitology</vt:lpwstr>
  </property>
  <property fmtid="{D5CDD505-2E9C-101B-9397-08002B2CF9AE}" pid="18" name="Mendeley Recent Style Id 8_1">
    <vt:lpwstr>http://www.zotero.org/styles/norsk-apa-manual</vt:lpwstr>
  </property>
  <property fmtid="{D5CDD505-2E9C-101B-9397-08002B2CF9AE}" pid="19" name="Mendeley Recent Style Name 8_1">
    <vt:lpwstr>Norsk APA-manual - APA 7th edition (author-date)</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y fmtid="{D5CDD505-2E9C-101B-9397-08002B2CF9AE}" pid="22" name="Mendeley Document_1">
    <vt:lpwstr>True</vt:lpwstr>
  </property>
  <property fmtid="{D5CDD505-2E9C-101B-9397-08002B2CF9AE}" pid="23" name="Mendeley Unique User Id_1">
    <vt:lpwstr>363a42f6-06e9-3dbf-8dbf-229bdb7648cc</vt:lpwstr>
  </property>
  <property fmtid="{D5CDD505-2E9C-101B-9397-08002B2CF9AE}" pid="24" name="Mendeley Citation Style_1">
    <vt:lpwstr>http://www.zotero.org/styles/vancouver</vt:lpwstr>
  </property>
</Properties>
</file>